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0C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/>
        <w:jc w:val="left"/>
        <w:textAlignment w:val="auto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附件5：</w:t>
      </w:r>
    </w:p>
    <w:p w14:paraId="773C8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高水平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教师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教学竞赛学院核查记录表</w:t>
      </w:r>
    </w:p>
    <w:p w14:paraId="50650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/>
        <w:jc w:val="center"/>
        <w:textAlignment w:val="auto"/>
        <w:rPr>
          <w:rFonts w:hint="eastAsia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初步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认定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）</w:t>
      </w:r>
    </w:p>
    <w:p w14:paraId="2B5722AD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2B751114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学院名称：</w:t>
      </w:r>
      <w:r>
        <w:rPr>
          <w:rFonts w:hint="eastAsia" w:ascii="仿宋" w:hAnsi="仿宋" w:eastAsia="仿宋" w:cs="仿宋"/>
          <w:sz w:val="28"/>
          <w:szCs w:val="28"/>
        </w:rPr>
        <w:t>____________________</w:t>
      </w:r>
    </w:p>
    <w:p w14:paraId="75E39E4A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核查事项：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2014-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202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年已初步认定的教师教学竞赛获奖</w:t>
      </w:r>
      <w:r>
        <w:rPr>
          <w:rFonts w:hint="eastAsia" w:ascii="仿宋" w:hAnsi="仿宋" w:eastAsia="仿宋" w:cs="仿宋"/>
          <w:sz w:val="28"/>
          <w:szCs w:val="28"/>
        </w:rPr>
        <w:t>材料</w:t>
      </w:r>
    </w:p>
    <w:p w14:paraId="6DA42D4F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核查日期：</w:t>
      </w:r>
      <w:r>
        <w:rPr>
          <w:rFonts w:hint="eastAsia" w:ascii="仿宋" w:hAnsi="仿宋" w:eastAsia="仿宋" w:cs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____年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2C4BF367">
      <w:pPr>
        <w:spacing w:before="300" w:after="120" w:line="288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28"/>
        </w:rPr>
      </w:pPr>
      <w:bookmarkStart w:id="0" w:name="heading_0"/>
      <w:r>
        <w:rPr>
          <w:rFonts w:hint="eastAsia" w:ascii="仿宋" w:hAnsi="仿宋" w:eastAsia="仿宋" w:cs="仿宋"/>
          <w:b/>
          <w:sz w:val="28"/>
          <w:szCs w:val="28"/>
        </w:rPr>
        <w:t>填写说明：</w:t>
      </w:r>
      <w:bookmarkEnd w:id="0"/>
    </w:p>
    <w:p w14:paraId="6AEBEC33">
      <w:pPr>
        <w:numPr>
          <w:ilvl w:val="0"/>
          <w:numId w:val="1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本表用于各学院对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2014年-2024年期间教师提交学校并初步</w:t>
      </w:r>
      <w:r>
        <w:rPr>
          <w:rFonts w:hint="eastAsia" w:ascii="仿宋" w:hAnsi="仿宋" w:eastAsia="仿宋" w:cs="仿宋"/>
          <w:sz w:val="28"/>
          <w:szCs w:val="28"/>
        </w:rPr>
        <w:t>认定的教师教学竞赛获奖材料进行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全面</w:t>
      </w:r>
      <w:r>
        <w:rPr>
          <w:rFonts w:hint="eastAsia" w:ascii="仿宋" w:hAnsi="仿宋" w:eastAsia="仿宋" w:cs="仿宋"/>
          <w:sz w:val="28"/>
          <w:szCs w:val="28"/>
        </w:rPr>
        <w:t>自查与核查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除江苏省高校教师教学创新大赛、全国高校教师教学创新大赛、江苏省高校青年教师教学竞赛、江苏省高校微课教学比赛等学校统一组织的赛事）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20149939">
      <w:pPr>
        <w:numPr>
          <w:ilvl w:val="0"/>
          <w:numId w:val="2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该学院参赛赛事项目的认定依据进行逐项核查并记录。</w:t>
      </w:r>
      <w:r>
        <w:rPr>
          <w:rFonts w:hint="eastAsia" w:ascii="仿宋" w:hAnsi="仿宋" w:eastAsia="仿宋" w:cs="仿宋"/>
          <w:sz w:val="28"/>
          <w:szCs w:val="28"/>
        </w:rPr>
        <w:t>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个赛事</w:t>
      </w:r>
      <w:r>
        <w:rPr>
          <w:rFonts w:hint="eastAsia" w:ascii="仿宋" w:hAnsi="仿宋" w:eastAsia="仿宋" w:cs="仿宋"/>
          <w:sz w:val="28"/>
          <w:szCs w:val="28"/>
        </w:rPr>
        <w:t>对应一张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核查</w:t>
      </w:r>
      <w:r>
        <w:rPr>
          <w:rFonts w:hint="eastAsia" w:ascii="仿宋" w:hAnsi="仿宋" w:eastAsia="仿宋" w:cs="仿宋"/>
          <w:sz w:val="28"/>
          <w:szCs w:val="28"/>
        </w:rPr>
        <w:t>记录表。</w:t>
      </w:r>
    </w:p>
    <w:p w14:paraId="61EEDB45">
      <w:pPr>
        <w:numPr>
          <w:ilvl w:val="0"/>
          <w:numId w:val="2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“核查要点”栏下各项目，请根据核查情况在“核查结果”栏勾选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☑</w:t>
      </w:r>
      <w:r>
        <w:rPr>
          <w:rFonts w:hint="eastAsia" w:ascii="仿宋" w:hAnsi="仿宋" w:eastAsia="仿宋" w:cs="仿宋"/>
          <w:sz w:val="28"/>
          <w:szCs w:val="28"/>
        </w:rPr>
        <w:t>或简要填写。</w:t>
      </w:r>
    </w:p>
    <w:p w14:paraId="156161E4">
      <w:pPr>
        <w:pBdr>
          <w:bottom w:val="single" w:color="DEE0E3" w:sz="2" w:space="0"/>
          <w:between w:val="single" w:color="DEE0E3" w:sz="2" w:space="0"/>
        </w:pBdr>
        <w:spacing w:before="120" w:after="120" w:line="288" w:lineRule="auto"/>
        <w:ind w:left="0"/>
        <w:rPr>
          <w:rFonts w:hint="eastAsia" w:ascii="仿宋" w:hAnsi="仿宋" w:eastAsia="仿宋" w:cs="仿宋"/>
          <w:sz w:val="28"/>
          <w:szCs w:val="28"/>
        </w:rPr>
      </w:pPr>
    </w:p>
    <w:p w14:paraId="0B097F45">
      <w:pPr>
        <w:spacing w:before="320" w:after="120" w:line="288" w:lineRule="auto"/>
        <w:ind w:left="0"/>
        <w:jc w:val="left"/>
        <w:outlineLvl w:val="1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1" w:name="heading_1"/>
      <w:r>
        <w:rPr>
          <w:rFonts w:hint="eastAsia" w:ascii="黑体" w:hAnsi="黑体" w:eastAsia="黑体" w:cs="黑体"/>
          <w:b/>
          <w:sz w:val="32"/>
          <w:szCs w:val="32"/>
        </w:rPr>
        <w:t>一、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赛事</w:t>
      </w:r>
      <w:r>
        <w:rPr>
          <w:rFonts w:hint="eastAsia" w:ascii="黑体" w:hAnsi="黑体" w:eastAsia="黑体" w:cs="黑体"/>
          <w:b/>
          <w:sz w:val="32"/>
          <w:szCs w:val="32"/>
        </w:rPr>
        <w:t>基本信息</w:t>
      </w:r>
      <w:bookmarkEnd w:id="1"/>
    </w:p>
    <w:p w14:paraId="254516C6">
      <w:pPr>
        <w:numPr>
          <w:ilvl w:val="0"/>
          <w:numId w:val="3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赛事名称（认定用）：</w:t>
      </w:r>
      <w:r>
        <w:rPr>
          <w:rFonts w:hint="eastAsia" w:ascii="仿宋" w:hAnsi="仿宋" w:eastAsia="仿宋" w:cs="仿宋"/>
          <w:sz w:val="28"/>
          <w:szCs w:val="28"/>
        </w:rPr>
        <w:t>________</w:t>
      </w:r>
    </w:p>
    <w:p w14:paraId="7DCBE24F">
      <w:pPr>
        <w:numPr>
          <w:ilvl w:val="0"/>
          <w:numId w:val="4"/>
        </w:num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本学院历届获奖人数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________</w:t>
      </w:r>
    </w:p>
    <w:p w14:paraId="2CC5E938">
      <w:pPr>
        <w:spacing w:before="320" w:after="120" w:line="288" w:lineRule="auto"/>
        <w:ind w:left="0"/>
        <w:jc w:val="left"/>
        <w:outlineLvl w:val="1"/>
        <w:rPr>
          <w:rFonts w:hint="eastAsia" w:ascii="黑体" w:hAnsi="黑体" w:eastAsia="黑体" w:cs="黑体"/>
          <w:b/>
          <w:sz w:val="32"/>
          <w:szCs w:val="32"/>
        </w:rPr>
      </w:pPr>
      <w:bookmarkStart w:id="2" w:name="heading_2"/>
      <w:r>
        <w:rPr>
          <w:rFonts w:hint="eastAsia" w:ascii="黑体" w:hAnsi="黑体" w:eastAsia="黑体" w:cs="黑体"/>
          <w:b/>
          <w:sz w:val="32"/>
          <w:szCs w:val="32"/>
        </w:rPr>
        <w:t>二、</w:t>
      </w:r>
      <w:bookmarkEnd w:id="2"/>
      <w:bookmarkStart w:id="3" w:name="heading_3"/>
      <w:r>
        <w:rPr>
          <w:rFonts w:hint="eastAsia" w:ascii="黑体" w:hAnsi="黑体" w:eastAsia="黑体" w:cs="黑体"/>
          <w:b/>
          <w:sz w:val="32"/>
          <w:szCs w:val="32"/>
        </w:rPr>
        <w:t>竞赛依据材料核查</w:t>
      </w:r>
      <w:bookmarkEnd w:id="3"/>
    </w:p>
    <w:p w14:paraId="0690D0FF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（请调取该赛事当年的官方通知、章程等文件进行核对）</w:t>
      </w:r>
    </w:p>
    <w:tbl>
      <w:tblPr>
        <w:tblStyle w:val="2"/>
        <w:tblW w:w="89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8"/>
        <w:gridCol w:w="4090"/>
        <w:gridCol w:w="4050"/>
      </w:tblGrid>
      <w:tr w14:paraId="1174F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9EC8F3C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452E3D1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核查要点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3115CCC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核查结果 (请勾选或填写)</w:t>
            </w:r>
          </w:p>
        </w:tc>
      </w:tr>
      <w:tr w14:paraId="5C884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64C7AA3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F1AB55B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竞赛通知/章程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竞赛获奖通知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是否已获取并核对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468A5D2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 已获取并核对 / □ 缺失</w:t>
            </w:r>
          </w:p>
        </w:tc>
      </w:tr>
      <w:tr w14:paraId="1C0A5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15CC107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ED13DF7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通知中竞赛全称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是否与证书一致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B4BA9BF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 一致 / □ 不一致</w:t>
            </w:r>
          </w:p>
          <w:p w14:paraId="20A339CF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（请说明）：_________</w:t>
            </w:r>
          </w:p>
        </w:tc>
      </w:tr>
      <w:tr w14:paraId="1F13E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04E435E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DB1235B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通知中主办/组织单位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是否与证书落款单位逻辑一致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8D0F307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 一致 / □ 不一致</w:t>
            </w:r>
          </w:p>
          <w:p w14:paraId="2566FF9E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（请说明）：_________</w:t>
            </w:r>
          </w:p>
        </w:tc>
      </w:tr>
      <w:tr w14:paraId="67AC1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46C8C77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E94C07F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通知中明确的奖项最高等级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（如：设特等奖）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B0B281F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最高为：_________</w:t>
            </w:r>
          </w:p>
          <w:p w14:paraId="391AC20F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（例：特等奖/一等奖）</w:t>
            </w:r>
          </w:p>
        </w:tc>
      </w:tr>
      <w:tr w14:paraId="7E2FB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0D9ECC2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86D1902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对照学校认定依据，核查竞赛性质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6188FD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□授课技能类、教学创新类</w:t>
            </w:r>
          </w:p>
          <w:p w14:paraId="2847EF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□课程资源类（教案、课件、教学素材、教学案例）教学竞赛</w:t>
            </w:r>
          </w:p>
          <w:p w14:paraId="6BC46C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□案例、作品征集、仪器设备</w:t>
            </w:r>
          </w:p>
          <w:p w14:paraId="14F437C9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□其他（请说明）</w:t>
            </w:r>
          </w:p>
        </w:tc>
      </w:tr>
      <w:tr w14:paraId="5712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7223923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04E96F8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通知中是否有明确的竞赛范围、对象、评选规则说明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56203BD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是 / □ 否（信息不全）</w:t>
            </w:r>
          </w:p>
        </w:tc>
      </w:tr>
      <w:tr w14:paraId="484A2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9C8B063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35221E3">
            <w:pPr>
              <w:spacing w:before="120" w:after="120" w:line="288" w:lineRule="auto"/>
              <w:ind w:left="0"/>
              <w:jc w:val="left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竞赛对象/范围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9984398">
            <w:pPr>
              <w:spacing w:before="120" w:after="120" w:line="288" w:lineRule="auto"/>
              <w:ind w:left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请填写）</w:t>
            </w:r>
          </w:p>
        </w:tc>
      </w:tr>
      <w:tr w14:paraId="24B40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BC0C364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B53011F">
            <w:pPr>
              <w:spacing w:before="120" w:after="120" w:line="288" w:lineRule="auto"/>
              <w:ind w:left="0"/>
              <w:jc w:val="left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评选规则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4A8CE1B">
            <w:pPr>
              <w:spacing w:before="120" w:after="120" w:line="288" w:lineRule="auto"/>
              <w:ind w:left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请填写）</w:t>
            </w:r>
          </w:p>
        </w:tc>
      </w:tr>
      <w:tr w14:paraId="1169F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2DD98BC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21D396D">
            <w:pPr>
              <w:spacing w:before="120" w:after="120" w:line="288" w:lineRule="auto"/>
              <w:ind w:left="0"/>
              <w:jc w:val="left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该赛事是否缴费参赛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0484F5E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是 / □ 否（信息不全）</w:t>
            </w:r>
          </w:p>
        </w:tc>
      </w:tr>
      <w:tr w14:paraId="5F81F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7A2F89A">
            <w:pPr>
              <w:spacing w:before="120" w:after="120" w:line="288" w:lineRule="auto"/>
              <w:ind w:left="0" w:leftChars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409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7E44B67">
            <w:pPr>
              <w:spacing w:before="120" w:after="120" w:line="288" w:lineRule="auto"/>
              <w:ind w:left="0"/>
              <w:jc w:val="left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该赛事是否为学院重点推荐赛事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E3A1153">
            <w:pPr>
              <w:spacing w:before="120" w:after="120" w:line="288" w:lineRule="auto"/>
              <w:ind w:left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是 / □ 否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一般各单位最多一个重点推荐教学赛事）</w:t>
            </w:r>
          </w:p>
        </w:tc>
      </w:tr>
      <w:tr w14:paraId="4EF2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938" w:type="dxa"/>
            <w:gridSpan w:val="2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331A0D8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依据核查小结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：竞赛依据材料是否支持该赛事的认定级别与性质？</w:t>
            </w:r>
          </w:p>
        </w:tc>
        <w:tc>
          <w:tcPr>
            <w:tcW w:w="4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BE4643B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 完全支持 </w:t>
            </w:r>
          </w:p>
          <w:p w14:paraId="6668AC7E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 基本支持，但有细微差异 </w:t>
            </w:r>
          </w:p>
          <w:p w14:paraId="3973631A">
            <w:pPr>
              <w:spacing w:before="120" w:after="120" w:line="288" w:lineRule="auto"/>
              <w:ind w:lef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 存在明显疑问或矛盾</w:t>
            </w:r>
          </w:p>
        </w:tc>
      </w:tr>
    </w:tbl>
    <w:p w14:paraId="55E1A4C9">
      <w:pPr>
        <w:spacing w:before="320" w:after="120" w:line="288" w:lineRule="auto"/>
        <w:ind w:left="0"/>
        <w:jc w:val="left"/>
        <w:outlineLvl w:val="1"/>
        <w:rPr>
          <w:rFonts w:hint="eastAsia" w:ascii="黑体" w:hAnsi="黑体" w:eastAsia="黑体" w:cs="黑体"/>
          <w:b/>
          <w:sz w:val="32"/>
          <w:szCs w:val="32"/>
        </w:rPr>
      </w:pPr>
      <w:bookmarkStart w:id="4" w:name="heading_4"/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学院</w:t>
      </w:r>
      <w:r>
        <w:rPr>
          <w:rFonts w:hint="eastAsia" w:ascii="黑体" w:hAnsi="黑体" w:eastAsia="黑体" w:cs="黑体"/>
          <w:b/>
          <w:sz w:val="32"/>
          <w:szCs w:val="32"/>
        </w:rPr>
        <w:t>核查结论与意见</w:t>
      </w:r>
      <w:bookmarkEnd w:id="4"/>
    </w:p>
    <w:p w14:paraId="4D8A8313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该赛事学院</w:t>
      </w:r>
      <w:r>
        <w:rPr>
          <w:rFonts w:hint="eastAsia" w:ascii="仿宋" w:hAnsi="仿宋" w:eastAsia="仿宋" w:cs="仿宋"/>
          <w:b/>
          <w:sz w:val="28"/>
          <w:szCs w:val="28"/>
        </w:rPr>
        <w:t>核查结论：</w:t>
      </w:r>
    </w:p>
    <w:p w14:paraId="6D3F4981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⚠️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赛事</w:t>
      </w:r>
      <w:r>
        <w:rPr>
          <w:rFonts w:hint="eastAsia" w:ascii="仿宋" w:hAnsi="仿宋" w:eastAsia="仿宋" w:cs="仿宋"/>
          <w:b/>
          <w:sz w:val="28"/>
          <w:szCs w:val="28"/>
        </w:rPr>
        <w:t>材料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完整</w:t>
      </w:r>
      <w:r>
        <w:rPr>
          <w:rFonts w:hint="eastAsia" w:ascii="仿宋" w:hAnsi="仿宋" w:eastAsia="仿宋" w:cs="仿宋"/>
          <w:b/>
          <w:sz w:val="28"/>
          <w:szCs w:val="28"/>
        </w:rPr>
        <w:t>，信息准确无误</w:t>
      </w:r>
      <w:r>
        <w:rPr>
          <w:rFonts w:hint="eastAsia" w:ascii="仿宋" w:hAnsi="仿宋" w:eastAsia="仿宋" w:cs="仿宋"/>
          <w:sz w:val="28"/>
          <w:szCs w:val="28"/>
        </w:rPr>
        <w:t>，建议维持原认定。</w:t>
      </w:r>
    </w:p>
    <w:p w14:paraId="29461B90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⚠️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赛事</w:t>
      </w:r>
      <w:r>
        <w:rPr>
          <w:rFonts w:hint="eastAsia" w:ascii="仿宋" w:hAnsi="仿宋" w:eastAsia="仿宋" w:cs="仿宋"/>
          <w:b/>
          <w:sz w:val="28"/>
          <w:szCs w:val="28"/>
        </w:rPr>
        <w:t>材料基本完整，但存在需说明的瑕疵</w:t>
      </w:r>
      <w:r>
        <w:rPr>
          <w:rFonts w:hint="eastAsia" w:ascii="仿宋" w:hAnsi="仿宋" w:eastAsia="仿宋" w:cs="仿宋"/>
          <w:sz w:val="28"/>
          <w:szCs w:val="28"/>
        </w:rPr>
        <w:t>（如证书单位非校全称但可理解，奖项表述有细微差别等）。具体情况：_________________________</w:t>
      </w:r>
    </w:p>
    <w:p w14:paraId="633328ED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⚠️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赛事</w:t>
      </w:r>
      <w:r>
        <w:rPr>
          <w:rFonts w:hint="eastAsia" w:ascii="仿宋" w:hAnsi="仿宋" w:eastAsia="仿宋" w:cs="仿宋"/>
          <w:b/>
          <w:sz w:val="28"/>
          <w:szCs w:val="28"/>
        </w:rPr>
        <w:t>材料存在重大问题或缺失</w:t>
      </w:r>
      <w:r>
        <w:rPr>
          <w:rFonts w:hint="eastAsia" w:ascii="仿宋" w:hAnsi="仿宋" w:eastAsia="仿宋" w:cs="仿宋"/>
          <w:sz w:val="28"/>
          <w:szCs w:val="28"/>
        </w:rPr>
        <w:t>（如关键信息缺失、主办单位不符、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竞赛内容与</w:t>
      </w:r>
      <w:r>
        <w:rPr>
          <w:rFonts w:hint="eastAsia" w:ascii="仿宋" w:hAnsi="仿宋" w:eastAsia="仿宋" w:cs="仿宋"/>
          <w:sz w:val="28"/>
          <w:szCs w:val="28"/>
        </w:rPr>
        <w:t>依据不足等），</w:t>
      </w:r>
      <w:r>
        <w:rPr>
          <w:rFonts w:hint="eastAsia" w:ascii="仿宋" w:hAnsi="仿宋" w:eastAsia="仿宋" w:cs="仿宋"/>
          <w:b/>
          <w:sz w:val="28"/>
          <w:szCs w:val="28"/>
        </w:rPr>
        <w:t>建议重新审核或调整认定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6C219D05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具体问题：_________________________</w:t>
      </w:r>
    </w:p>
    <w:p w14:paraId="74D01AE1">
      <w:pPr>
        <w:spacing w:before="120" w:after="120" w:line="288" w:lineRule="auto"/>
        <w:ind w:left="0"/>
        <w:jc w:val="left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</w:p>
    <w:p w14:paraId="314A7358">
      <w:pPr>
        <w:numPr>
          <w:ilvl w:val="0"/>
          <w:numId w:val="0"/>
        </w:numPr>
        <w:spacing w:before="120" w:after="120" w:line="288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以上核查信息均真实、准确、完整，无任何虚假或隐瞒。</w:t>
      </w:r>
    </w:p>
    <w:p w14:paraId="7DF7EC32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3829D23B">
      <w:pPr>
        <w:spacing w:before="120" w:after="120" w:line="288" w:lineRule="auto"/>
        <w:ind w:left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核查人（签字）：</w:t>
      </w:r>
      <w:r>
        <w:rPr>
          <w:rFonts w:hint="eastAsia" w:ascii="仿宋" w:hAnsi="仿宋" w:eastAsia="仿宋" w:cs="仿宋"/>
          <w:sz w:val="28"/>
          <w:szCs w:val="28"/>
        </w:rPr>
        <w:t>________</w:t>
      </w:r>
    </w:p>
    <w:p w14:paraId="27E9E351">
      <w:pPr>
        <w:spacing w:before="120" w:after="120" w:line="288" w:lineRule="auto"/>
        <w:ind w:left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学院分管领导（审核签字）：</w:t>
      </w:r>
      <w:r>
        <w:rPr>
          <w:rFonts w:hint="eastAsia" w:ascii="仿宋" w:hAnsi="仿宋" w:eastAsia="仿宋" w:cs="仿宋"/>
          <w:sz w:val="28"/>
          <w:szCs w:val="28"/>
        </w:rPr>
        <w:t>________</w:t>
      </w:r>
    </w:p>
    <w:p w14:paraId="6BB6B066">
      <w:pPr>
        <w:spacing w:before="120" w:after="120" w:line="288" w:lineRule="auto"/>
        <w:ind w:left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学院公章：</w:t>
      </w:r>
      <w:r>
        <w:rPr>
          <w:rFonts w:hint="eastAsia" w:ascii="仿宋" w:hAnsi="仿宋" w:eastAsia="仿宋" w:cs="仿宋"/>
          <w:sz w:val="28"/>
          <w:szCs w:val="28"/>
        </w:rPr>
        <w:t>________</w:t>
      </w:r>
    </w:p>
    <w:p w14:paraId="6144052D">
      <w:pPr>
        <w:pBdr>
          <w:bottom w:val="single" w:color="DEE0E3" w:sz="2" w:space="0"/>
          <w:between w:val="single" w:color="DEE0E3" w:sz="2" w:space="0"/>
        </w:pBdr>
        <w:spacing w:before="120" w:after="120" w:line="288" w:lineRule="auto"/>
        <w:ind w:left="0"/>
        <w:rPr>
          <w:rFonts w:hint="eastAsia" w:ascii="仿宋" w:hAnsi="仿宋" w:eastAsia="仿宋" w:cs="仿宋"/>
          <w:sz w:val="28"/>
          <w:szCs w:val="28"/>
        </w:rPr>
      </w:pPr>
    </w:p>
    <w:p w14:paraId="05F23CB3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注：</w:t>
      </w:r>
      <w:r>
        <w:rPr>
          <w:rFonts w:hint="eastAsia" w:ascii="仿宋" w:hAnsi="仿宋" w:eastAsia="仿宋" w:cs="仿宋"/>
          <w:sz w:val="28"/>
          <w:szCs w:val="28"/>
        </w:rPr>
        <w:t>本记录表及相关证明材料（证书扫描件、竞赛通知文件等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赛事材料</w:t>
      </w:r>
      <w:r>
        <w:rPr>
          <w:rFonts w:hint="eastAsia" w:ascii="仿宋" w:hAnsi="仿宋" w:eastAsia="仿宋" w:cs="仿宋"/>
          <w:sz w:val="28"/>
          <w:szCs w:val="28"/>
        </w:rPr>
        <w:t>）请由学院统一存档备查，并按学校通知要求汇总上报核查结论。</w:t>
      </w:r>
      <w:bookmarkStart w:id="5" w:name="_GoBack"/>
      <w:bookmarkEnd w:id="5"/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D6CB4F8-E0A3-4E31-81D0-D548BE5E53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D2271A8-C61D-4411-B089-39FDEAF67ED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2298161-4B74-46E6-A3BD-48D0C53A6524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193FB452-7184-4F92-92B7-32F4027F9BB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B901C8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D4C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singleLevel"/>
    <w:tmpl w:val="CF092B84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1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2">
    <w:nsid w:val="0248C179"/>
    <w:multiLevelType w:val="singleLevel"/>
    <w:tmpl w:val="0248C179"/>
    <w:lvl w:ilvl="0" w:tentative="0">
      <w:start w:val="0"/>
      <w:numFmt w:val="bullet"/>
      <w:lvlText w:val="•"/>
      <w:lvlJc w:val="left"/>
      <w:rPr>
        <w:color w:val="3370FF"/>
      </w:rPr>
    </w:lvl>
  </w:abstractNum>
  <w:abstractNum w:abstractNumId="3">
    <w:nsid w:val="25B654F3"/>
    <w:multiLevelType w:val="singleLevel"/>
    <w:tmpl w:val="25B654F3"/>
    <w:lvl w:ilvl="0" w:tentative="0">
      <w:start w:val="0"/>
      <w:numFmt w:val="bullet"/>
      <w:lvlText w:val="•"/>
      <w:lvlJc w:val="left"/>
      <w:rPr>
        <w:color w:val="3370FF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086D5AED"/>
    <w:rsid w:val="0BC634ED"/>
    <w:rsid w:val="4DFA64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995</Words>
  <Characters>1139</Characters>
  <TotalTime>11</TotalTime>
  <ScaleCrop>false</ScaleCrop>
  <LinksUpToDate>false</LinksUpToDate>
  <CharactersWithSpaces>1186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2025-12-04T11:41:00Z</dcterms:created>
  <dc:creator>Apache POI</dc:creator>
  <cp:lastModifiedBy>易洋</cp:lastModifiedBy>
  <dcterms:modified xsi:type="dcterms:W3CDTF">2025-12-05T03:01:47Z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eyJoZGlkIjoiMzEwNTM5NzYwMDRjMzkwZTVkZjY2ODkwMGIxNGU0OTUiLCJ1c2VySWQiOiIxNTY2MjU4Mjk4In0=</vt:lpwstr>
  </property>
  <property fmtid="{D5CDD505-2E9C-101B-9397-08002B2CF9AE}" pid="3" name="KSOProductBuildVer">
    <vt:lpwstr>2052-12.1.0.23542</vt:lpwstr>
  </property>
  <property fmtid="{D5CDD505-2E9C-101B-9397-08002B2CF9AE}" pid="4" name="ICV">
    <vt:lpwstr>9962FF55B41D4B09923152DF4B4E37E8_12</vt:lpwstr>
  </property>
</Properties>
</file>