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2018年校本培训优秀学员名单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能源与动力学院（1人）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江荣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自动化学院（2人）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苏子康、赵振华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电子信息工程学院（7人）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王正、时晨光、戚楠、黄正宇、王鹏、赵兴、黄洋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机电学院（1人）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张健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材料学院（3人）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席丽霞、李雪梅、张腾飞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理学院（3人）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娄兆伟、伏洋洋、姜明明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经济与管理学院（1人）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王俊杰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外国语学院（2人）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张平凡、白雪花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航天学院（2人）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贾庆贤、李丹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计算机科学与技术学院/人工智能学院（3人）</w:t>
      </w:r>
    </w:p>
    <w:p>
      <w:pPr>
        <w:spacing w:line="360" w:lineRule="auto"/>
        <w:ind w:firstLine="640" w:firstLineChars="200"/>
      </w:pPr>
      <w:r>
        <w:rPr>
          <w:rFonts w:hint="eastAsia" w:ascii="仿宋_GB2312" w:eastAsia="仿宋_GB2312" w:hAnsiTheme="minorEastAsia"/>
          <w:sz w:val="32"/>
          <w:szCs w:val="24"/>
        </w:rPr>
        <w:t>张静宣、周玉倩、王铁鑫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5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2019-10-14T08:25:47Z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